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201" w:hRule="atLeast"/>
        </w:trPr>
        <w:tc>
          <w:tcPr>
            <w:tcW w:w="0" w:type="auto"/>
            <w:shd w:val="clear" w:color="auto" w:fill="FFFFFF"/>
            <w:tcMar>
              <w:top w:w="300" w:type="dxa"/>
              <w:left w:w="750" w:type="dxa"/>
              <w:right w:w="750" w:type="dxa"/>
            </w:tcMar>
            <w:vAlign w:val="top"/>
          </w:tcPr>
          <w:p>
            <w:pPr>
              <w:rPr>
                <w:rFonts w:hint="eastAsia" w:ascii="宋体" w:hAnsi="宋体" w:eastAsia="宋体" w:cs="宋体"/>
                <w:i w:val="0"/>
                <w:iCs w:val="0"/>
                <w:caps w:val="0"/>
                <w:color w:val="3D3D3D"/>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0" w:type="auto"/>
            <w:shd w:val="clear" w:color="auto" w:fill="FFFFFF"/>
            <w:tcMar>
              <w:top w:w="225" w:type="dxa"/>
              <w:left w:w="225" w:type="dxa"/>
              <w:bottom w:w="225" w:type="dxa"/>
              <w:right w:w="225" w:type="dxa"/>
            </w:tcMar>
            <w:vAlign w:val="center"/>
          </w:tcPr>
          <w:p>
            <w:pPr>
              <w:keepNext w:val="0"/>
              <w:keepLines w:val="0"/>
              <w:widowControl/>
              <w:suppressLineNumbers w:val="0"/>
              <w:spacing w:line="480" w:lineRule="atLeast"/>
              <w:ind w:left="0" w:firstLine="0"/>
              <w:jc w:val="center"/>
              <w:rPr>
                <w:rFonts w:hint="eastAsia" w:ascii="宋体" w:hAnsi="宋体" w:eastAsia="宋体" w:cs="宋体"/>
                <w:b/>
                <w:bCs/>
                <w:i w:val="0"/>
                <w:iCs w:val="0"/>
                <w:caps w:val="0"/>
                <w:color w:val="3D3D3D"/>
                <w:spacing w:val="0"/>
                <w:sz w:val="32"/>
                <w:szCs w:val="32"/>
              </w:rPr>
            </w:pPr>
            <w:r>
              <w:rPr>
                <w:rFonts w:hint="eastAsia" w:ascii="宋体" w:hAnsi="宋体" w:eastAsia="宋体" w:cs="宋体"/>
                <w:b/>
                <w:bCs/>
                <w:i w:val="0"/>
                <w:iCs w:val="0"/>
                <w:caps w:val="0"/>
                <w:color w:val="3D3D3D"/>
                <w:spacing w:val="0"/>
                <w:kern w:val="0"/>
                <w:sz w:val="32"/>
                <w:szCs w:val="32"/>
                <w:bdr w:val="none" w:color="auto" w:sz="0" w:space="0"/>
                <w:lang w:val="en-US" w:eastAsia="zh-CN" w:bidi="ar"/>
              </w:rPr>
              <w:t>中华人民共和国外商投资法实施条例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spacing w:line="324" w:lineRule="atLeast"/>
              <w:rPr>
                <w:rFonts w:hint="eastAsia" w:ascii="宋体" w:hAnsi="宋体" w:eastAsia="宋体" w:cs="宋体"/>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1" w:hRule="atLeast"/>
        </w:trPr>
        <w:tc>
          <w:tcPr>
            <w:tcW w:w="0" w:type="auto"/>
            <w:shd w:val="clear" w:color="auto" w:fill="FFFFFF"/>
            <w:tcMar>
              <w:top w:w="300" w:type="dxa"/>
              <w:left w:w="750" w:type="dxa"/>
              <w:right w:w="7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ascii="微软雅黑" w:hAnsi="微软雅黑" w:eastAsia="微软雅黑" w:cs="微软雅黑"/>
              </w:rPr>
            </w:pPr>
            <w:r>
              <w:rPr>
                <w:rFonts w:ascii="方正小标宋简体" w:hAnsi="方正小标宋简体" w:eastAsia="方正小标宋简体" w:cs="方正小标宋简体"/>
                <w:i w:val="0"/>
                <w:iCs w:val="0"/>
                <w:caps w:val="0"/>
                <w:color w:val="3D3D3D"/>
                <w:spacing w:val="0"/>
                <w:sz w:val="43"/>
                <w:szCs w:val="43"/>
                <w:u w:val="none"/>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ascii="黑体" w:hAnsi="宋体" w:eastAsia="黑体" w:cs="黑体"/>
                <w:i w:val="0"/>
                <w:iCs w:val="0"/>
                <w:caps w:val="0"/>
                <w:color w:val="3D3D3D"/>
                <w:spacing w:val="0"/>
                <w:sz w:val="31"/>
                <w:szCs w:val="31"/>
                <w:u w:val="none"/>
                <w:bdr w:val="none" w:color="auto" w:sz="0" w:space="0"/>
                <w:shd w:val="clear" w:fill="FFFFFF"/>
              </w:rPr>
              <w:t>第一章</w:t>
            </w:r>
            <w:r>
              <w:rPr>
                <w:rFonts w:hint="eastAsia" w:ascii="黑体" w:hAnsi="宋体" w:eastAsia="黑体" w:cs="黑体"/>
                <w:i w:val="0"/>
                <w:iCs w:val="0"/>
                <w:caps w:val="0"/>
                <w:color w:val="3D3D3D"/>
                <w:spacing w:val="0"/>
                <w:sz w:val="31"/>
                <w:szCs w:val="31"/>
                <w:u w:val="none"/>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ascii="仿宋_GB2312" w:hAnsi="微软雅黑" w:eastAsia="仿宋_GB2312" w:cs="仿宋_GB2312"/>
                <w:b/>
                <w:bCs/>
                <w:i w:val="0"/>
                <w:iCs w:val="0"/>
                <w:caps w:val="0"/>
                <w:color w:val="3D3D3D"/>
                <w:spacing w:val="0"/>
                <w:sz w:val="31"/>
                <w:szCs w:val="31"/>
                <w:u w:val="none"/>
                <w:bdr w:val="none" w:color="auto" w:sz="0" w:space="0"/>
                <w:shd w:val="clear" w:fill="FFFFFF"/>
              </w:rPr>
              <w:t>第一条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根据《中华人民共和国外商投资法》(以下简称外商投资法)，制定本条例。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国家鼓励和促进外商投资，保护外商投资合法权益，规范外商投资管理，持续优化外商投资环境，推进更高水平对外开放。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外商投资法第二条第二款第一项、第三项所称其他投资者，包括中国的自然人在内。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外商投资准入负面清单(以下简称负面清单)由国务院投资主管部门会同国务院商务主管部门等有关部门提出，报国务院发布或者报国务院批准后由国务院投资主管部门、商务主管部门发布。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国家根据进一步扩大对外开放和经济社会发展需要，适时调整负面清单。调整负面清单的程序，适用前款规定。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第五条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国务院商务主管部门、投资主管部门以及其他有关部门按照职责分工，密切配合、相互协作，共同做好外商投资促进、保护和管理工作。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第二章 投资促进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第六条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政府及其有关部门在政府资金安排、土地供应、税费减免、资质许可、标准制定、项目申报、人力资源政策等方面，应当依法平等对待外商投资企业和内资企业。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第七条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制定与外商投资有关的行政法规、规章、规范性文件，或者政府及其有关部门起草与外商投资有关的法律、地方性法规，应当根据实际情况，采取书面征求意见以及召开座谈会、论证会、听证会等多种形式，听取外商投资企业和有关商会、协会等方面的意见和建议;对反映集中或者涉及外商投资企业重大权利义务问题的意见和建议，应当通过适当方式反馈采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与外商投资有关的规范性文件应当依法及时公布，未经公布的不得作为行政管理依据。与外商投资企业生产经营活动密切相关的规范性文件，应当结合实际，合理确定公布到施行之间的时间。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第八条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各级人民政府应当按照政府主导、多方参与的原则，建立健全外商投资服务体系，不断提升外商投资服务能力和水平。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第九条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外商投资法第十三条所称特殊经济区域，是指经国家批准设立、实行更大力度的对外开放政策措施的特定区域。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国家在部分地区实行的外商投资试验性政策措施，经实践证明可行的，根据实际情况在其他地区或者全国范围内推广。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第十一条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第十二条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外国投资者、外商投资企业可以依照法律、行政法规或者国务院的规定，享受财政、税收、金融、用地等方面的优惠待遇。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外国投资者以其在中国境内的投资收益在中国境内扩大投资的，依法享受相应的优惠待遇。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第十三条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外商投资企业依法和内资企业平等参与国家标准、行业标准、地方标准和团体标准的制定、修订工作。外商投资企业可以根据需要自行制定或者与其他企业联合制定企业标准。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标准化行政主管部门和有关行政主管部门应当建立健全相关工作机制，提高标准制定、修订的透明度，推进标准制定、修订全过程信息公开。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第十四条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国家制定的强制性标准对外商投资企业和内资企业平等适用，不得专门针对外商投资企业适用高于强制性标准的技术要求。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第十五条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政府及其有关部门不得阻挠和限制外商投资企业自由进入本地区和本行业的政府采购市场。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政府采购的采购人、采购代理机构不得在政府采购信息发布、供应商条件确定和资格审查、评标标准等方面，对外商投资企业实行差别待遇或者歧视待遇，不得以所有制形式、组织形式、股权结构、投资者国别、产品或者服务品牌以及其他不合理的条件对供应商予以限定，不得对外商投资企业在中国境内生产的产品、提供的服务和内资企业区别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第十六条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可以依照《中华人民共和国政府采购法》(以下简称政府采购法)及其实施条例的规定，就政府采购活动事项向采购人、采购代理机构提出询问、质疑，向政府采购监督管理部门投诉。采购人、采购代理机构、政府采购监督管理部门应当在规定的时限内作出答复或者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第十七条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政府采购监督管理部门和其他有关部门应当加强对政府采购活动的监督检查，依法纠正和查处对外商投资企业实行差别待遇或者歧视待遇等违法违规行为。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第十八条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外商投资企业可以依法在中国境内或者境外通过公开发行股票、公司债券等证券，以及公开或者非公开发行其他融资工具、借用外债等方式进行融资。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第十九条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县级以上地方人民政府可以根据法律、行政法规、地方性法规的规定，在法定权限内制定费用减免、用地指标保障、公共服务提供等方面的外商投资促进和便利化政策措施。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县级以上地方人民政府制定外商投资促进和便利化政策措施，应当以推动高质量发展为导向，有利于提高经济效益、社会效益、生态效益，有利于持续优化外商投资环境。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有关主管部门应当编制和公布外商投资指引，为外国投资者和外商投资企业提供服务和便利。外商投资指引应当包括投资环境介绍、外商投资办事指南、投资项目信息以及相关数据信息等内容，并及时更新。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第三章 投资保护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第二十一条 </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国家对外国投资者的投资不实行征收。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在特殊情况下，国家为了公共利益的需要依照法律规定对外国投资者的投资实行征收的，应当依照法定程序、以非歧视性的方式进行，并按照被征收投资的市场价值及时给予补偿。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外国投资者对征收决定不服的，可以依法申请行政复议或者提起行政诉讼。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第二十二条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外商投资企业的外籍职工和香港、澳门、台湾职工的工资收入和其他合法收入，可以依法自由汇出。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第二十三条 </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国家加大对知识产权侵权行为的惩处力度，持续强化知识产权执法，推动建立知识产权快速协同保护机制，健全知识产权纠纷多元化解决机制，平等保护外国投资者和外商投资企业的知识产权。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标准制定中涉及外国投资者和外商投资企业专利的，应当按照标准涉及专利的有关管理规定办理。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第二十四条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行政机关(包括法律、法规授权的具有管理公共事务职能的组织，下同)及其工作人员不得利用实施行政许可、行政检查、行政处罚、行政强制以及其他行政手段，强制或者变相强制外国投资者、外商投资企业转让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第二十五条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行政机关依法履行职责，确需外国投资者、外商投资企业提供涉及商业秘密的材料、信息的，应当限定在履行职责所必需的范围内，并严格控制知悉范围，与履行职责无关的人员不得接触有关材料、信息。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第二十六条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政府及其有关部门制定涉及外商投资的规范性文件，应当按照国务院的规定进行合法性审核。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第二十七条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法第二十五条所称政策承诺，是指地方各级人民政府及其有关部门在法定权限内，就外国投资者、外商投资企业在本地区投资所适用的支持政策、享受的优惠待遇和便利条件等作出的书面承诺。政策承诺的内容应当符合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第二十八条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地方各级人民政府及其有关部门应当履行向外国投资者、外商投资企业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外国投资者、外商投资企业因此受到的损失及时予以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第二十九条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县级以上人民政府及其有关部门应当按照公开透明、高效便利的原则，建立健全外商投资企业投诉工作机制，及时处理外商投资企业或者其投资者反映的问题，协调完善相关政策措施。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国务院商务主管部门、县级以上地方人民政府指定的部门或者机构应当完善投诉工作规则、健全投诉方式、明确投诉处理时限。投诉工作规则、投诉方式、投诉处理时限应当对外公布。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外商投资企业或者其投资者依照前款规定申请协调解决有关问题的，不影响其依法申请行政复议、提起行政诉讼。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第三十一条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对外商投资企业或者其投资者通过外商投资企业投诉工作机制反映或者申请协调解决问题，任何单位和个人不得压制或者打击报复。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除外商投资企业投诉工作机制外，外商投资企业或者其投资者还可以通过其他合法途径向政府及其有关部门反映问题。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第三十二条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外商投资企业可以依法成立商会、协会。除法律、法规另有规定外，外商投资企业有权自主决定参加或者退出商会、协会，任何单位和个人不得干预。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商会、协会应当依照法律法规和章程的规定，加强行业自律，及时反映行业诉求，为会员提供信息咨询、宣传培训、市场拓展、经贸交流、权益保护、纠纷处理等方面的服务。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国家支持商会、协会依照法律法规和章程的规定开展相关活动。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第四章 投资管理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第三十三条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负面清单规定禁止投资的领域，外国投资者不得投资。负面清单规定限制投资的领域，外国投资者进行投资应当符合负面清单规定的股权要求、高级管理人员要求等限制性准入特别管理措施。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第三十四条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有关主管部门在依法履行职责过程中，对外国投资者拟投资负面清单内领域，但不符合负面清单规定的，不予办理许可、企业登记注册等相关事项;涉及固定资产投资项目核准的，不予办理相关核准事项。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第三十五条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负责实施许可的有关主管部门应当通过多种方式，优化审批服务，提高审批效率。对符合相关条件和要求的许可事项，可以按照有关规定采取告知承诺的方式办理。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第三十六条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外商投资需要办理投资项目核准、备案的，按照国家有关规定执行。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第三十七条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外商投资企业的登记注册，由国务院市场监督管理部门或者其授权的地方人民政府市场监督管理部门依法办理。国务院市场监督管理部门应当公布其授权的市场监督管理部门名单。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外商投资企业的注册资本可以用人民币表示，也可以用可自由兑换货币表示。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第三十八条 </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第三十九条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外国投资者或者外商投资企业报送的投资信息应当真实、准确、完整。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国家建立外商投资安全审查制度，对影响或者可能影响国家安全的外商投资进行安全审查。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第四十一条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政府和有关部门及其工作人员有下列情形之一的，依法依规追究责任: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（一）制定或者实施有关政策不依法平等对待外商投资企业和内资企业;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（二）违法限制外商投资企业平等参与标准制定、修订工作，或者专门针对外商投资企业适用高于强制性标准的技术要求;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（三）违法限制外国投资者汇入、汇出资金;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（四）不履行向外国投资者、外商投资企业依法作出的政策承诺以及依法订立的各类合同，超出法定权限作出政策承诺，或者政策承诺的内容不符合法律、法规规定。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第四十二条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政府采购监督管理部门对外商投资企业的投诉逾期未作处理的，对直接负责的主管人员和其他直接责任人员依法给予处分。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第四十三条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行政机关及其工作人员利用行政手段强制或者变相强制外国投资者、外商投资企业转让技术的，对直接负责的主管人员和其他直接责任人员依法给予处分。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3D3D3D"/>
                <w:spacing w:val="0"/>
                <w:sz w:val="31"/>
                <w:szCs w:val="31"/>
                <w:u w:val="none"/>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第四十四条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外商投资法施行前依照《中华人民共和国中外合资经营企业法》、《中华人民共和国外资企业法》、《中华人民共和国中外合作经营企业法》设立的外商投资企业(以下称现有外商投资企业)，在外商投资法施行后5年内，可以依照《中华人民共和国公司法》、《中华人民共和国合伙企业法》等法律的规定调整其组织形式、组织机构等，并依法办理变更登记，也可以继续保留原企业组织形式、组织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自2025年1月1日起，对未依法调整组织形式、组织机构等并办理变更登记的现有外商投资企业，市场监督管理部门不予办理其申请的其他登记事项，并将相关情形予以公示。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第四十五条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第四十六条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现有外商投资企业的组织形式、组织机构等依法调整后，原合营、合作各方在合同中约定的股权或者权益转让办法、收益分配办法、剩余财产分配办法等，可以继续按照约定办理。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第四十七条 </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外商投资企业在中国境内投资，适用外商投资法和本条例的有关规定。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第四十八条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香港特别行政区、澳门特别行政区投资者在内地投资，参照外商投资法和本条例执行;法律、行政法规或者国务院另有规定的，从其规定。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台湾地区投资者在大陆投资，适用《中华人民共和国台湾同胞投资保护法》(以下简称台湾同胞投资保护法)及其实施细则的规定;台湾同胞投资保护法及其实施细则未规定的事项，参照外商投资法和本条例执行。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定居在国外的中国公民在中国境内投资，参照外商投资法和本条例执行;法律、行政法规或者国务院另有规定的，从其规定。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Style w:val="5"/>
                <w:rFonts w:hint="eastAsia" w:ascii="仿宋_GB2312" w:hAnsi="微软雅黑" w:eastAsia="仿宋_GB2312" w:cs="仿宋_GB2312"/>
                <w:b/>
                <w:bCs/>
                <w:i w:val="0"/>
                <w:iCs w:val="0"/>
                <w:caps w:val="0"/>
                <w:color w:val="3D3D3D"/>
                <w:spacing w:val="0"/>
                <w:sz w:val="31"/>
                <w:szCs w:val="31"/>
                <w:u w:val="none"/>
                <w:bdr w:val="none" w:color="auto" w:sz="0" w:space="0"/>
                <w:shd w:val="clear" w:fill="FFFFFF"/>
              </w:rPr>
              <w:t>第四十九条</w:t>
            </w: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 本条例自2020年1月1日起施行。《中华人民共和国中外合资经营企业法实施条例》、《中外合资经营企业合营期限暂行规定》、《中华人民共和国外资企业法实施细则》、《中华人民共和国中外合作经营企业法实施细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rPr>
            </w:pPr>
            <w:r>
              <w:rPr>
                <w:rFonts w:hint="eastAsia" w:ascii="仿宋_GB2312" w:hAnsi="微软雅黑" w:eastAsia="仿宋_GB2312" w:cs="仿宋_GB2312"/>
                <w:i w:val="0"/>
                <w:iCs w:val="0"/>
                <w:caps w:val="0"/>
                <w:color w:val="3D3D3D"/>
                <w:spacing w:val="0"/>
                <w:sz w:val="31"/>
                <w:szCs w:val="31"/>
                <w:u w:val="none"/>
                <w:bdr w:val="none" w:color="auto" w:sz="0" w:space="0"/>
                <w:shd w:val="clear" w:fill="FFFFFF"/>
              </w:rPr>
              <w:t>2020年1月1日前制定的有关外商投资的规定与外商投资法和本条例不一致的，以外商投资法和本条例的规定为准。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E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2021-09-10T02:44:22Z</dcterms:created>
  <dc:creator>Administrator</dc:creator>
  <cp:lastModifiedBy>Administrator</cp:lastModifiedBy>
  <dcterms:modified xsi:type="dcterms:W3CDTF">2021-09-10T02:44:41Z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BAA399DC8FDD4989961CB557BD2B635C</vt:lpwstr>
  </property>
</Properties>
</file>