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6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7" w:hRule="atLeast"/>
          <w:jc w:val="center"/>
        </w:trPr>
        <w:tc>
          <w:tcPr>
            <w:tcW w:w="1462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default" w:ascii="黑体" w:hAnsi="宋体" w:eastAsia="黑体" w:cs="黑体"/>
                <w:i w:val="0"/>
                <w:color w:val="000000"/>
                <w:sz w:val="28"/>
                <w:szCs w:val="28"/>
                <w:u w:val="none"/>
                <w:lang w:val="en-US"/>
              </w:rPr>
            </w:pPr>
            <w:r>
              <w:rPr>
                <w:rFonts w:hint="eastAsia" w:ascii="黑体" w:hAnsi="宋体" w:eastAsia="黑体" w:cs="黑体"/>
                <w:i w:val="0"/>
                <w:color w:val="000000"/>
                <w:kern w:val="0"/>
                <w:sz w:val="32"/>
                <w:szCs w:val="32"/>
                <w:u w:val="none"/>
                <w:lang w:val="en-US" w:eastAsia="zh-CN" w:bidi="ar"/>
              </w:rPr>
              <w:t>附件2</w:t>
            </w:r>
          </w:p>
        </w:tc>
      </w:tr>
    </w:tbl>
    <w:p>
      <w:pPr>
        <w:keepNext w:val="0"/>
        <w:keepLines w:val="0"/>
        <w:pageBreakBefore w:val="0"/>
        <w:widowControl w:val="0"/>
        <w:tabs>
          <w:tab w:val="left" w:pos="790"/>
          <w:tab w:val="left" w:pos="1264"/>
        </w:tabs>
        <w:kinsoku/>
        <w:wordWrap/>
        <w:overflowPunct w:val="0"/>
        <w:topLinePunct w:val="0"/>
        <w:autoSpaceDE/>
        <w:autoSpaceDN/>
        <w:bidi w:val="0"/>
        <w:adjustRightInd w:val="0"/>
        <w:snapToGrid w:val="0"/>
        <w:spacing w:line="20" w:lineRule="exact"/>
        <w:ind w:right="0" w:rightChars="0"/>
        <w:jc w:val="left"/>
        <w:textAlignment w:val="auto"/>
        <w:outlineLvl w:val="9"/>
        <w:rPr>
          <w:rFonts w:hint="eastAsia" w:hAnsi="宋体"/>
          <w:szCs w:val="30"/>
          <w:lang w:val="en-US" w:eastAsia="zh-CN"/>
        </w:rPr>
      </w:pPr>
    </w:p>
    <w:tbl>
      <w:tblPr>
        <w:tblStyle w:val="4"/>
        <w:tblW w:w="14640" w:type="dxa"/>
        <w:jc w:val="center"/>
        <w:shd w:val="clear" w:color="auto" w:fill="auto"/>
        <w:tblLayout w:type="fixed"/>
        <w:tblCellMar>
          <w:top w:w="0" w:type="dxa"/>
          <w:left w:w="0" w:type="dxa"/>
          <w:bottom w:w="0" w:type="dxa"/>
          <w:right w:w="0" w:type="dxa"/>
        </w:tblCellMar>
      </w:tblPr>
      <w:tblGrid>
        <w:gridCol w:w="390"/>
        <w:gridCol w:w="1128"/>
        <w:gridCol w:w="5400"/>
        <w:gridCol w:w="1445"/>
        <w:gridCol w:w="1514"/>
        <w:gridCol w:w="1631"/>
        <w:gridCol w:w="1082"/>
        <w:gridCol w:w="915"/>
        <w:gridCol w:w="1135"/>
      </w:tblGrid>
      <w:tr>
        <w:tblPrEx>
          <w:tblCellMar>
            <w:top w:w="0" w:type="dxa"/>
            <w:left w:w="0" w:type="dxa"/>
            <w:bottom w:w="0" w:type="dxa"/>
            <w:right w:w="0" w:type="dxa"/>
          </w:tblCellMar>
        </w:tblPrEx>
        <w:trPr>
          <w:trHeight w:val="2007" w:hRule="atLeast"/>
          <w:jc w:val="center"/>
        </w:trPr>
        <w:tc>
          <w:tcPr>
            <w:tcW w:w="14640"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市商务局  2021年度部门内部“双随机、一公开”抽查计划</w:t>
            </w:r>
          </w:p>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28"/>
                <w:szCs w:val="28"/>
                <w:u w:val="none"/>
                <w:lang w:val="en-US" w:eastAsia="zh-CN" w:bidi="ar"/>
              </w:rPr>
            </w:pPr>
          </w:p>
          <w:p>
            <w:pPr>
              <w:keepNext w:val="0"/>
              <w:keepLines w:val="0"/>
              <w:widowControl/>
              <w:suppressLineNumbers w:val="0"/>
              <w:jc w:val="left"/>
              <w:textAlignment w:val="center"/>
              <w:rPr>
                <w:rFonts w:hint="eastAsia" w:ascii="方正小标宋简体" w:hAnsi="方正小标宋简体" w:eastAsia="方正小标宋简体" w:cs="方正小标宋简体"/>
                <w:i w:val="0"/>
                <w:color w:val="000000"/>
                <w:kern w:val="0"/>
                <w:sz w:val="28"/>
                <w:szCs w:val="28"/>
                <w:u w:val="none"/>
                <w:lang w:val="en-US" w:eastAsia="zh-CN" w:bidi="ar"/>
              </w:rPr>
            </w:pPr>
            <w:r>
              <w:rPr>
                <w:rFonts w:hint="eastAsia" w:ascii="方正小标宋简体" w:hAnsi="方正小标宋简体" w:eastAsia="方正小标宋简体" w:cs="方正小标宋简体"/>
                <w:i w:val="0"/>
                <w:color w:val="000000"/>
                <w:kern w:val="0"/>
                <w:sz w:val="28"/>
                <w:szCs w:val="28"/>
                <w:u w:val="none"/>
                <w:lang w:val="en-US" w:eastAsia="zh-CN" w:bidi="ar"/>
              </w:rPr>
              <w:t>单位（盖章）：</w:t>
            </w:r>
          </w:p>
          <w:p>
            <w:pPr>
              <w:keepNext w:val="0"/>
              <w:keepLines w:val="0"/>
              <w:widowControl/>
              <w:suppressLineNumbers w:val="0"/>
              <w:jc w:val="left"/>
              <w:textAlignment w:val="center"/>
              <w:rPr>
                <w:rFonts w:hint="default" w:ascii="方正小标宋简体" w:hAnsi="方正小标宋简体" w:eastAsia="方正小标宋简体" w:cs="方正小标宋简体"/>
                <w:i w:val="0"/>
                <w:color w:val="000000"/>
                <w:kern w:val="0"/>
                <w:sz w:val="28"/>
                <w:szCs w:val="28"/>
                <w:u w:val="none"/>
                <w:lang w:val="en-US" w:eastAsia="zh-CN" w:bidi="ar"/>
              </w:rPr>
            </w:pPr>
          </w:p>
        </w:tc>
      </w:tr>
      <w:tr>
        <w:tblPrEx>
          <w:tblCellMar>
            <w:top w:w="0" w:type="dxa"/>
            <w:left w:w="0" w:type="dxa"/>
            <w:bottom w:w="0" w:type="dxa"/>
            <w:right w:w="0" w:type="dxa"/>
          </w:tblCellMar>
        </w:tblPrEx>
        <w:trPr>
          <w:trHeight w:val="551" w:hRule="atLeast"/>
          <w:jc w:val="center"/>
        </w:trPr>
        <w:tc>
          <w:tcPr>
            <w:tcW w:w="390"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1128"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抽查类别</w:t>
            </w:r>
          </w:p>
        </w:tc>
        <w:tc>
          <w:tcPr>
            <w:tcW w:w="5400"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抽查事项</w:t>
            </w:r>
          </w:p>
        </w:tc>
        <w:tc>
          <w:tcPr>
            <w:tcW w:w="144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检查对象</w:t>
            </w:r>
          </w:p>
        </w:tc>
        <w:tc>
          <w:tcPr>
            <w:tcW w:w="1514"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事项</w:t>
            </w:r>
          </w:p>
        </w:tc>
        <w:tc>
          <w:tcPr>
            <w:tcW w:w="1631"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抽查比例</w:t>
            </w:r>
          </w:p>
        </w:tc>
        <w:tc>
          <w:tcPr>
            <w:tcW w:w="1082"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牵头</w:t>
            </w:r>
          </w:p>
        </w:tc>
        <w:tc>
          <w:tcPr>
            <w:tcW w:w="915" w:type="dxa"/>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w:t>
            </w:r>
          </w:p>
        </w:tc>
        <w:tc>
          <w:tcPr>
            <w:tcW w:w="1135" w:type="dxa"/>
            <w:vMerge w:val="restar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检查主体</w:t>
            </w:r>
          </w:p>
        </w:tc>
      </w:tr>
      <w:tr>
        <w:tblPrEx>
          <w:tblCellMar>
            <w:top w:w="0" w:type="dxa"/>
            <w:left w:w="0" w:type="dxa"/>
            <w:bottom w:w="0" w:type="dxa"/>
            <w:right w:w="0" w:type="dxa"/>
          </w:tblCellMar>
        </w:tblPrEx>
        <w:trPr>
          <w:trHeight w:val="90" w:hRule="atLeast"/>
          <w:jc w:val="center"/>
        </w:trPr>
        <w:tc>
          <w:tcPr>
            <w:tcW w:w="390"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128"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5400"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44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c>
          <w:tcPr>
            <w:tcW w:w="15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类别</w:t>
            </w:r>
          </w:p>
        </w:tc>
        <w:tc>
          <w:tcPr>
            <w:tcW w:w="163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及频次</w:t>
            </w:r>
          </w:p>
        </w:tc>
        <w:tc>
          <w:tcPr>
            <w:tcW w:w="108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科室</w:t>
            </w:r>
          </w:p>
        </w:tc>
        <w:tc>
          <w:tcPr>
            <w:tcW w:w="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时间</w:t>
            </w:r>
          </w:p>
        </w:tc>
        <w:tc>
          <w:tcPr>
            <w:tcW w:w="1135" w:type="dxa"/>
            <w:vMerge w:val="continue"/>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黑体" w:hAnsi="宋体" w:eastAsia="黑体" w:cs="黑体"/>
                <w:i w:val="0"/>
                <w:color w:val="000000"/>
                <w:sz w:val="22"/>
                <w:szCs w:val="22"/>
                <w:u w:val="none"/>
                <w:lang w:val="en-US" w:eastAsia="zh-CN"/>
              </w:rPr>
            </w:pPr>
            <w:r>
              <w:rPr>
                <w:rFonts w:hint="eastAsia" w:ascii="黑体" w:hAnsi="宋体" w:eastAsia="黑体" w:cs="黑体"/>
                <w:i w:val="0"/>
                <w:color w:val="000000"/>
                <w:sz w:val="22"/>
                <w:szCs w:val="22"/>
                <w:u w:val="none"/>
                <w:lang w:val="en-US" w:eastAsia="zh-CN"/>
              </w:rPr>
              <w:t>1</w:t>
            </w:r>
          </w:p>
        </w:tc>
        <w:tc>
          <w:tcPr>
            <w:tcW w:w="1128"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黑体" w:hAnsi="宋体" w:eastAsia="黑体" w:cs="黑体"/>
                <w:i w:val="0"/>
                <w:color w:val="000000"/>
                <w:sz w:val="22"/>
                <w:szCs w:val="22"/>
                <w:u w:val="none"/>
                <w:lang w:val="en-US" w:eastAsia="zh-CN"/>
              </w:rPr>
            </w:pPr>
            <w:r>
              <w:rPr>
                <w:rFonts w:hint="eastAsia" w:ascii="微软雅黑" w:hAnsi="微软雅黑" w:eastAsia="微软雅黑" w:cs="微软雅黑"/>
                <w:i w:val="0"/>
                <w:caps w:val="0"/>
                <w:color w:val="000000"/>
                <w:spacing w:val="0"/>
                <w:kern w:val="0"/>
                <w:sz w:val="18"/>
                <w:szCs w:val="18"/>
                <w:lang w:val="en-US" w:eastAsia="zh-CN" w:bidi="ar"/>
              </w:rPr>
              <w:t>成品油市场的监督检查</w:t>
            </w:r>
          </w:p>
        </w:tc>
        <w:tc>
          <w:tcPr>
            <w:tcW w:w="540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r>
              <w:rPr>
                <w:rFonts w:hint="eastAsia" w:ascii="微软雅黑" w:hAnsi="微软雅黑" w:eastAsia="微软雅黑" w:cs="微软雅黑"/>
                <w:i w:val="0"/>
                <w:caps w:val="0"/>
                <w:color w:val="000000"/>
                <w:spacing w:val="0"/>
                <w:kern w:val="0"/>
                <w:sz w:val="18"/>
                <w:szCs w:val="18"/>
                <w:lang w:val="en-US" w:eastAsia="zh-CN" w:bidi="ar"/>
              </w:rPr>
              <w:fldChar w:fldCharType="begin"/>
            </w:r>
            <w:r>
              <w:rPr>
                <w:rFonts w:hint="eastAsia" w:ascii="微软雅黑" w:hAnsi="微软雅黑" w:eastAsia="微软雅黑" w:cs="微软雅黑"/>
                <w:i w:val="0"/>
                <w:caps w:val="0"/>
                <w:color w:val="000000"/>
                <w:spacing w:val="0"/>
                <w:kern w:val="0"/>
                <w:sz w:val="18"/>
                <w:szCs w:val="18"/>
                <w:lang w:val="en-US" w:eastAsia="zh-CN" w:bidi="ar"/>
              </w:rPr>
              <w:instrText xml:space="preserve"> EQ \o\ac(○,1)</w:instrText>
            </w:r>
            <w:r>
              <w:rPr>
                <w:rFonts w:hint="eastAsia" w:ascii="微软雅黑" w:hAnsi="微软雅黑" w:eastAsia="微软雅黑" w:cs="微软雅黑"/>
                <w:i w:val="0"/>
                <w:caps w:val="0"/>
                <w:color w:val="000000"/>
                <w:spacing w:val="0"/>
                <w:kern w:val="0"/>
                <w:sz w:val="18"/>
                <w:szCs w:val="18"/>
                <w:lang w:val="en-US" w:eastAsia="zh-CN" w:bidi="ar"/>
              </w:rPr>
              <w:fldChar w:fldCharType="end"/>
            </w:r>
            <w:r>
              <w:rPr>
                <w:rFonts w:hint="eastAsia" w:ascii="微软雅黑" w:hAnsi="微软雅黑" w:eastAsia="微软雅黑" w:cs="微软雅黑"/>
                <w:i w:val="0"/>
                <w:caps w:val="0"/>
                <w:color w:val="000000"/>
                <w:spacing w:val="0"/>
                <w:kern w:val="0"/>
                <w:sz w:val="18"/>
                <w:szCs w:val="18"/>
                <w:lang w:val="en-US" w:eastAsia="zh-CN" w:bidi="ar"/>
              </w:rPr>
              <w:t>监督检查加油站是否取得相关证书；</w:t>
            </w:r>
            <w:r>
              <w:rPr>
                <w:rFonts w:hint="eastAsia" w:ascii="微软雅黑" w:hAnsi="微软雅黑" w:eastAsia="微软雅黑" w:cs="微软雅黑"/>
                <w:i w:val="0"/>
                <w:caps w:val="0"/>
                <w:color w:val="000000"/>
                <w:spacing w:val="0"/>
                <w:kern w:val="0"/>
                <w:sz w:val="18"/>
                <w:szCs w:val="18"/>
                <w:lang w:val="en-US" w:eastAsia="zh-CN" w:bidi="ar"/>
              </w:rPr>
              <w:fldChar w:fldCharType="begin"/>
            </w:r>
            <w:r>
              <w:rPr>
                <w:rFonts w:hint="eastAsia" w:ascii="微软雅黑" w:hAnsi="微软雅黑" w:eastAsia="微软雅黑" w:cs="微软雅黑"/>
                <w:i w:val="0"/>
                <w:caps w:val="0"/>
                <w:color w:val="000000"/>
                <w:spacing w:val="0"/>
                <w:kern w:val="0"/>
                <w:sz w:val="18"/>
                <w:szCs w:val="18"/>
                <w:lang w:val="en-US" w:eastAsia="zh-CN" w:bidi="ar"/>
              </w:rPr>
              <w:instrText xml:space="preserve"> EQ \o\ac(○,2)</w:instrText>
            </w:r>
            <w:r>
              <w:rPr>
                <w:rFonts w:hint="eastAsia" w:ascii="微软雅黑" w:hAnsi="微软雅黑" w:eastAsia="微软雅黑" w:cs="微软雅黑"/>
                <w:i w:val="0"/>
                <w:caps w:val="0"/>
                <w:color w:val="000000"/>
                <w:spacing w:val="0"/>
                <w:kern w:val="0"/>
                <w:sz w:val="18"/>
                <w:szCs w:val="18"/>
                <w:lang w:val="en-US" w:eastAsia="zh-CN" w:bidi="ar"/>
              </w:rPr>
              <w:fldChar w:fldCharType="end"/>
            </w:r>
            <w:r>
              <w:rPr>
                <w:rFonts w:hint="eastAsia" w:ascii="微软雅黑" w:hAnsi="微软雅黑" w:eastAsia="微软雅黑" w:cs="微软雅黑"/>
                <w:i w:val="0"/>
                <w:caps w:val="0"/>
                <w:color w:val="000000"/>
                <w:spacing w:val="0"/>
                <w:kern w:val="0"/>
                <w:sz w:val="18"/>
                <w:szCs w:val="18"/>
                <w:lang w:val="en-US" w:eastAsia="zh-CN" w:bidi="ar"/>
              </w:rPr>
              <w:t>监督检查加油站进货渠道是否合法，进货台账建立情况；</w:t>
            </w:r>
            <w:r>
              <w:rPr>
                <w:rFonts w:hint="eastAsia" w:ascii="微软雅黑" w:hAnsi="微软雅黑" w:eastAsia="微软雅黑" w:cs="微软雅黑"/>
                <w:i w:val="0"/>
                <w:caps w:val="0"/>
                <w:color w:val="000000"/>
                <w:spacing w:val="0"/>
                <w:kern w:val="0"/>
                <w:sz w:val="18"/>
                <w:szCs w:val="18"/>
                <w:lang w:val="en-US" w:eastAsia="zh-CN" w:bidi="ar"/>
              </w:rPr>
              <w:fldChar w:fldCharType="begin"/>
            </w:r>
            <w:r>
              <w:rPr>
                <w:rFonts w:hint="eastAsia" w:ascii="微软雅黑" w:hAnsi="微软雅黑" w:eastAsia="微软雅黑" w:cs="微软雅黑"/>
                <w:i w:val="0"/>
                <w:caps w:val="0"/>
                <w:color w:val="000000"/>
                <w:spacing w:val="0"/>
                <w:kern w:val="0"/>
                <w:sz w:val="18"/>
                <w:szCs w:val="18"/>
                <w:lang w:val="en-US" w:eastAsia="zh-CN" w:bidi="ar"/>
              </w:rPr>
              <w:instrText xml:space="preserve"> EQ \o\ac(○,3)</w:instrText>
            </w:r>
            <w:r>
              <w:rPr>
                <w:rFonts w:hint="eastAsia" w:ascii="微软雅黑" w:hAnsi="微软雅黑" w:eastAsia="微软雅黑" w:cs="微软雅黑"/>
                <w:i w:val="0"/>
                <w:caps w:val="0"/>
                <w:color w:val="000000"/>
                <w:spacing w:val="0"/>
                <w:kern w:val="0"/>
                <w:sz w:val="18"/>
                <w:szCs w:val="18"/>
                <w:lang w:val="en-US" w:eastAsia="zh-CN" w:bidi="ar"/>
              </w:rPr>
              <w:fldChar w:fldCharType="end"/>
            </w:r>
            <w:r>
              <w:rPr>
                <w:rFonts w:hint="eastAsia" w:ascii="微软雅黑" w:hAnsi="微软雅黑" w:eastAsia="微软雅黑" w:cs="微软雅黑"/>
                <w:i w:val="0"/>
                <w:caps w:val="0"/>
                <w:color w:val="000000"/>
                <w:spacing w:val="0"/>
                <w:kern w:val="0"/>
                <w:sz w:val="18"/>
                <w:szCs w:val="18"/>
                <w:lang w:val="en-US" w:eastAsia="zh-CN" w:bidi="ar"/>
              </w:rPr>
              <w:t>监督检查加油站销售油品标注情况。</w:t>
            </w:r>
          </w:p>
        </w:tc>
        <w:tc>
          <w:tcPr>
            <w:tcW w:w="144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黑体" w:hAnsi="宋体" w:eastAsia="黑体" w:cs="黑体"/>
                <w:i w:val="0"/>
                <w:color w:val="000000"/>
                <w:sz w:val="22"/>
                <w:szCs w:val="22"/>
                <w:u w:val="none"/>
                <w:lang w:val="en-US" w:eastAsia="zh-CN"/>
              </w:rPr>
            </w:pPr>
            <w:r>
              <w:rPr>
                <w:rFonts w:hint="eastAsia" w:ascii="微软雅黑" w:hAnsi="微软雅黑" w:eastAsia="微软雅黑" w:cs="微软雅黑"/>
                <w:i w:val="0"/>
                <w:caps w:val="0"/>
                <w:color w:val="000000"/>
                <w:spacing w:val="0"/>
                <w:kern w:val="0"/>
                <w:sz w:val="18"/>
                <w:szCs w:val="18"/>
                <w:lang w:val="en-US" w:eastAsia="zh-CN" w:bidi="ar"/>
              </w:rPr>
              <w:t>全市加油站</w:t>
            </w:r>
          </w:p>
        </w:tc>
        <w:tc>
          <w:tcPr>
            <w:tcW w:w="15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重点检查事项</w:t>
            </w:r>
          </w:p>
        </w:tc>
        <w:tc>
          <w:tcPr>
            <w:tcW w:w="163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5%；一年1次</w:t>
            </w:r>
          </w:p>
        </w:tc>
        <w:tc>
          <w:tcPr>
            <w:tcW w:w="108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商贸促进科</w:t>
            </w:r>
          </w:p>
        </w:tc>
        <w:tc>
          <w:tcPr>
            <w:tcW w:w="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i w:val="0"/>
                <w:color w:val="000000"/>
                <w:kern w:val="0"/>
                <w:sz w:val="22"/>
                <w:szCs w:val="22"/>
                <w:u w:val="none"/>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4月—12月</w:t>
            </w:r>
          </w:p>
        </w:tc>
        <w:tc>
          <w:tcPr>
            <w:tcW w:w="113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黑体" w:hAnsi="宋体" w:eastAsia="黑体" w:cs="黑体"/>
                <w:i w:val="0"/>
                <w:color w:val="000000"/>
                <w:sz w:val="22"/>
                <w:szCs w:val="22"/>
                <w:u w:val="none"/>
              </w:rPr>
            </w:pPr>
            <w:r>
              <w:rPr>
                <w:rFonts w:hint="eastAsia" w:ascii="微软雅黑" w:hAnsi="微软雅黑" w:eastAsia="微软雅黑" w:cs="微软雅黑"/>
                <w:i w:val="0"/>
                <w:caps w:val="0"/>
                <w:color w:val="000000"/>
                <w:spacing w:val="0"/>
                <w:kern w:val="0"/>
                <w:sz w:val="18"/>
                <w:szCs w:val="18"/>
                <w:lang w:val="en-US" w:eastAsia="zh-CN" w:bidi="ar"/>
              </w:rPr>
              <w:t>市级、县级商务部门</w:t>
            </w:r>
          </w:p>
        </w:tc>
      </w:tr>
      <w:tr>
        <w:tblPrEx>
          <w:shd w:val="clear" w:color="auto" w:fill="auto"/>
          <w:tblCellMar>
            <w:top w:w="0" w:type="dxa"/>
            <w:left w:w="0" w:type="dxa"/>
            <w:bottom w:w="0" w:type="dxa"/>
            <w:right w:w="0" w:type="dxa"/>
          </w:tblCellMar>
        </w:tblPrEx>
        <w:trPr>
          <w:trHeight w:val="1978" w:hRule="atLeast"/>
          <w:jc w:val="center"/>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2</w:t>
            </w:r>
          </w:p>
        </w:tc>
        <w:tc>
          <w:tcPr>
            <w:tcW w:w="11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对已取得成品油经营资格的企业经营活动的检查</w:t>
            </w:r>
          </w:p>
        </w:tc>
        <w:tc>
          <w:tcPr>
            <w:tcW w:w="540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成品油零售经营批准证书》、《营业执照》、《危险化学品经营许可证》情况；成品油购进台账建立情况；国Ⅵ标准车用汽（柴）油的进货发票情况；地下油罐防渗改造情况；水冲厕所建设维护情况；散装汽油销售管控规定执行情况；企业在质量、计量、消防、安全、环保、税收等方面是否存在违法、违规情况等</w:t>
            </w:r>
          </w:p>
        </w:tc>
        <w:tc>
          <w:tcPr>
            <w:tcW w:w="144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全市加油站</w:t>
            </w:r>
          </w:p>
        </w:tc>
        <w:tc>
          <w:tcPr>
            <w:tcW w:w="151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重点检查事项</w:t>
            </w:r>
          </w:p>
        </w:tc>
        <w:tc>
          <w:tcPr>
            <w:tcW w:w="163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5%，一年一次</w:t>
            </w:r>
          </w:p>
        </w:tc>
        <w:tc>
          <w:tcPr>
            <w:tcW w:w="1082"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商贸促进科</w:t>
            </w:r>
          </w:p>
        </w:tc>
        <w:tc>
          <w:tcPr>
            <w:tcW w:w="91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4月-12月</w:t>
            </w:r>
          </w:p>
        </w:tc>
        <w:tc>
          <w:tcPr>
            <w:tcW w:w="113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市级、县级商务部门</w:t>
            </w:r>
          </w:p>
        </w:tc>
      </w:tr>
      <w:tr>
        <w:tblPrEx>
          <w:tblCellMar>
            <w:top w:w="0" w:type="dxa"/>
            <w:left w:w="0" w:type="dxa"/>
            <w:bottom w:w="0" w:type="dxa"/>
            <w:right w:w="0" w:type="dxa"/>
          </w:tblCellMar>
        </w:tblPrEx>
        <w:trPr>
          <w:trHeight w:val="1013" w:hRule="atLeast"/>
          <w:jc w:val="center"/>
        </w:trPr>
        <w:tc>
          <w:tcPr>
            <w:tcW w:w="390"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3</w:t>
            </w:r>
          </w:p>
        </w:tc>
        <w:tc>
          <w:tcPr>
            <w:tcW w:w="1128"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单用途商业预付卡监督检查</w:t>
            </w:r>
          </w:p>
        </w:tc>
        <w:tc>
          <w:tcPr>
            <w:tcW w:w="540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三项制度执行情况：实名登记制度、限额发行制度、非现金购卡制度</w:t>
            </w:r>
          </w:p>
        </w:tc>
        <w:tc>
          <w:tcPr>
            <w:tcW w:w="14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单用途商业预付卡备案企业</w:t>
            </w:r>
          </w:p>
        </w:tc>
        <w:tc>
          <w:tcPr>
            <w:tcW w:w="1514"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一般检查事项</w:t>
            </w:r>
          </w:p>
        </w:tc>
        <w:tc>
          <w:tcPr>
            <w:tcW w:w="163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50%，一年一次</w:t>
            </w:r>
          </w:p>
        </w:tc>
        <w:tc>
          <w:tcPr>
            <w:tcW w:w="1082"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商贸促进科</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p>
        </w:tc>
        <w:tc>
          <w:tcPr>
            <w:tcW w:w="91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4月-12月</w:t>
            </w:r>
          </w:p>
        </w:tc>
        <w:tc>
          <w:tcPr>
            <w:tcW w:w="113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市级、县级商务部门</w:t>
            </w:r>
          </w:p>
        </w:tc>
      </w:tr>
      <w:tr>
        <w:tblPrEx>
          <w:tblCellMar>
            <w:top w:w="0" w:type="dxa"/>
            <w:left w:w="0" w:type="dxa"/>
            <w:bottom w:w="0" w:type="dxa"/>
            <w:right w:w="0" w:type="dxa"/>
          </w:tblCellMar>
        </w:tblPrEx>
        <w:trPr>
          <w:trHeight w:val="1648" w:hRule="atLeast"/>
          <w:jc w:val="center"/>
        </w:trPr>
        <w:tc>
          <w:tcPr>
            <w:tcW w:w="39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w:t>
            </w:r>
          </w:p>
        </w:tc>
        <w:tc>
          <w:tcPr>
            <w:tcW w:w="1128"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外商投资信息报告的检查</w:t>
            </w:r>
          </w:p>
        </w:tc>
        <w:tc>
          <w:tcPr>
            <w:tcW w:w="540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外商投资企业是否真实、准确、完整、及时参加信息报告；经营范围是否涉及外商投资准入特别管理措施（负面清单），是否按规定执行</w:t>
            </w:r>
          </w:p>
        </w:tc>
        <w:tc>
          <w:tcPr>
            <w:tcW w:w="14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外商投资企业</w:t>
            </w:r>
          </w:p>
        </w:tc>
        <w:tc>
          <w:tcPr>
            <w:tcW w:w="151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一般检查事项</w:t>
            </w:r>
          </w:p>
        </w:tc>
        <w:tc>
          <w:tcPr>
            <w:tcW w:w="163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5%，一年一次</w:t>
            </w:r>
          </w:p>
        </w:tc>
        <w:tc>
          <w:tcPr>
            <w:tcW w:w="1082"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投资服务科</w:t>
            </w:r>
          </w:p>
        </w:tc>
        <w:tc>
          <w:tcPr>
            <w:tcW w:w="9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4月-12月</w:t>
            </w:r>
          </w:p>
        </w:tc>
        <w:tc>
          <w:tcPr>
            <w:tcW w:w="113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市级、县级商务部门</w:t>
            </w:r>
          </w:p>
        </w:tc>
      </w:tr>
      <w:tr>
        <w:tblPrEx>
          <w:shd w:val="clear" w:color="auto" w:fill="auto"/>
          <w:tblCellMar>
            <w:top w:w="0" w:type="dxa"/>
            <w:left w:w="0" w:type="dxa"/>
            <w:bottom w:w="0" w:type="dxa"/>
            <w:right w:w="0" w:type="dxa"/>
          </w:tblCellMar>
        </w:tblPrEx>
        <w:trPr>
          <w:trHeight w:val="1183" w:hRule="atLeast"/>
          <w:jc w:val="center"/>
        </w:trPr>
        <w:tc>
          <w:tcPr>
            <w:tcW w:w="39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5</w:t>
            </w:r>
          </w:p>
        </w:tc>
        <w:tc>
          <w:tcPr>
            <w:tcW w:w="1128"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对汽车销售企业的检查</w:t>
            </w:r>
          </w:p>
        </w:tc>
        <w:tc>
          <w:tcPr>
            <w:tcW w:w="540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汽车销售及其相关服务活动</w:t>
            </w:r>
          </w:p>
        </w:tc>
        <w:tc>
          <w:tcPr>
            <w:tcW w:w="14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汽车销售企业</w:t>
            </w:r>
          </w:p>
        </w:tc>
        <w:tc>
          <w:tcPr>
            <w:tcW w:w="151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一般检查事项</w:t>
            </w:r>
          </w:p>
        </w:tc>
        <w:tc>
          <w:tcPr>
            <w:tcW w:w="163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5%，一年一次</w:t>
            </w:r>
          </w:p>
        </w:tc>
        <w:tc>
          <w:tcPr>
            <w:tcW w:w="1082"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商贸发展科</w:t>
            </w:r>
          </w:p>
        </w:tc>
        <w:tc>
          <w:tcPr>
            <w:tcW w:w="9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4月-12月</w:t>
            </w:r>
          </w:p>
        </w:tc>
        <w:tc>
          <w:tcPr>
            <w:tcW w:w="113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市级、县级商务部门</w:t>
            </w:r>
          </w:p>
        </w:tc>
      </w:tr>
      <w:tr>
        <w:tblPrEx>
          <w:tblCellMar>
            <w:top w:w="0" w:type="dxa"/>
            <w:left w:w="0" w:type="dxa"/>
            <w:bottom w:w="0" w:type="dxa"/>
            <w:right w:w="0" w:type="dxa"/>
          </w:tblCellMar>
        </w:tblPrEx>
        <w:trPr>
          <w:trHeight w:val="220" w:hRule="atLeast"/>
          <w:jc w:val="center"/>
        </w:trPr>
        <w:tc>
          <w:tcPr>
            <w:tcW w:w="39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6</w:t>
            </w:r>
          </w:p>
        </w:tc>
        <w:tc>
          <w:tcPr>
            <w:tcW w:w="1128"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对报废机动车回收拆解企业的检查</w:t>
            </w:r>
          </w:p>
        </w:tc>
        <w:tc>
          <w:tcPr>
            <w:tcW w:w="540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本行政区域内报废机动车回收活动</w:t>
            </w:r>
          </w:p>
        </w:tc>
        <w:tc>
          <w:tcPr>
            <w:tcW w:w="14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报废机动车回收拆解企业</w:t>
            </w:r>
          </w:p>
        </w:tc>
        <w:tc>
          <w:tcPr>
            <w:tcW w:w="151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一般检查事项</w:t>
            </w:r>
          </w:p>
        </w:tc>
        <w:tc>
          <w:tcPr>
            <w:tcW w:w="163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100%，一年一次</w:t>
            </w:r>
          </w:p>
        </w:tc>
        <w:tc>
          <w:tcPr>
            <w:tcW w:w="1082"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商贸发展科</w:t>
            </w:r>
          </w:p>
        </w:tc>
        <w:tc>
          <w:tcPr>
            <w:tcW w:w="9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4月-12月</w:t>
            </w:r>
          </w:p>
        </w:tc>
        <w:tc>
          <w:tcPr>
            <w:tcW w:w="113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市级、县级商务部门</w:t>
            </w:r>
          </w:p>
        </w:tc>
      </w:tr>
      <w:tr>
        <w:tblPrEx>
          <w:tblCellMar>
            <w:top w:w="0" w:type="dxa"/>
            <w:left w:w="0" w:type="dxa"/>
            <w:bottom w:w="0" w:type="dxa"/>
            <w:right w:w="0" w:type="dxa"/>
          </w:tblCellMar>
        </w:tblPrEx>
        <w:trPr>
          <w:trHeight w:val="180" w:hRule="atLeast"/>
          <w:jc w:val="center"/>
        </w:trPr>
        <w:tc>
          <w:tcPr>
            <w:tcW w:w="390" w:type="dxa"/>
            <w:tcBorders>
              <w:top w:val="single" w:color="auto" w:sz="4"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7</w:t>
            </w:r>
          </w:p>
        </w:tc>
        <w:tc>
          <w:tcPr>
            <w:tcW w:w="1128"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对取得对外劳务合作经营资格企业的检查</w:t>
            </w:r>
          </w:p>
        </w:tc>
        <w:tc>
          <w:tcPr>
            <w:tcW w:w="5400"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1.对外劳务合作企业是否足额缴纳劳务备用金；2.对外劳务合作企业是否按规定报送统计资料；3.根据管理需要确定的其他事项。</w:t>
            </w:r>
          </w:p>
        </w:tc>
        <w:tc>
          <w:tcPr>
            <w:tcW w:w="144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取得对外劳务合作经营资格企业</w:t>
            </w:r>
          </w:p>
        </w:tc>
        <w:tc>
          <w:tcPr>
            <w:tcW w:w="1514"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一般检查事项</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p>
        </w:tc>
        <w:tc>
          <w:tcPr>
            <w:tcW w:w="1631"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50%，一年一次</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p>
        </w:tc>
        <w:tc>
          <w:tcPr>
            <w:tcW w:w="1082"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外经科</w:t>
            </w:r>
          </w:p>
        </w:tc>
        <w:tc>
          <w:tcPr>
            <w:tcW w:w="91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4月-12月</w:t>
            </w:r>
          </w:p>
        </w:tc>
        <w:tc>
          <w:tcPr>
            <w:tcW w:w="1135"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市级、县级商务部门</w:t>
            </w:r>
          </w:p>
        </w:tc>
      </w:tr>
    </w:tbl>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微软雅黑" w:hAnsi="微软雅黑" w:eastAsia="微软雅黑" w:cs="微软雅黑"/>
          <w:i w:val="0"/>
          <w:caps w:val="0"/>
          <w:color w:val="000000"/>
          <w:spacing w:val="0"/>
          <w:kern w:val="0"/>
          <w:sz w:val="18"/>
          <w:szCs w:val="1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微软雅黑" w:hAnsi="微软雅黑" w:eastAsia="微软雅黑" w:cs="微软雅黑"/>
          <w:i w:val="0"/>
          <w:caps w:val="0"/>
          <w:color w:val="000000"/>
          <w:spacing w:val="0"/>
          <w:kern w:val="0"/>
          <w:sz w:val="18"/>
          <w:szCs w:val="18"/>
          <w:lang w:val="en-US" w:eastAsia="zh-CN" w:bidi="ar"/>
        </w:rPr>
      </w:pP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0" w:leftChars="0" w:firstLine="0" w:firstLineChars="0"/>
        <w:jc w:val="left"/>
        <w:textAlignment w:val="auto"/>
        <w:rPr>
          <w:rFonts w:hint="eastAsia" w:ascii="黑体" w:hAnsi="黑体" w:eastAsia="黑体" w:cs="黑体"/>
          <w:color w:val="auto"/>
          <w:sz w:val="32"/>
          <w:lang w:val="en-US" w:eastAsia="zh-CN"/>
        </w:rPr>
      </w:pP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108"/>
        <w:jc w:val="left"/>
        <w:textAlignment w:val="auto"/>
        <w:rPr>
          <w:rFonts w:hint="eastAsia" w:ascii="黑体" w:hAnsi="黑体" w:eastAsia="黑体" w:cs="黑体"/>
          <w:color w:val="auto"/>
          <w:sz w:val="32"/>
          <w:lang w:val="en-US" w:eastAsia="zh-CN"/>
        </w:rPr>
      </w:pP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108"/>
        <w:jc w:val="left"/>
        <w:textAlignment w:val="auto"/>
        <w:rPr>
          <w:rFonts w:hint="eastAsia" w:ascii="黑体" w:hAnsi="黑体" w:eastAsia="黑体" w:cs="黑体"/>
          <w:color w:val="auto"/>
          <w:sz w:val="32"/>
          <w:lang w:val="en-US" w:eastAsia="zh-CN"/>
        </w:rPr>
      </w:pP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108"/>
        <w:jc w:val="left"/>
        <w:textAlignment w:val="auto"/>
        <w:rPr>
          <w:rFonts w:hint="eastAsia" w:ascii="黑体" w:hAnsi="黑体" w:eastAsia="黑体" w:cs="黑体"/>
          <w:color w:val="auto"/>
          <w:sz w:val="32"/>
          <w:lang w:val="en-US" w:eastAsia="zh-CN"/>
        </w:rPr>
      </w:pP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108"/>
        <w:jc w:val="left"/>
        <w:textAlignment w:val="auto"/>
        <w:rPr>
          <w:rFonts w:hint="eastAsia" w:ascii="黑体" w:hAnsi="黑体" w:eastAsia="黑体" w:cs="黑体"/>
          <w:color w:val="auto"/>
          <w:sz w:val="32"/>
          <w:lang w:val="en-US" w:eastAsia="zh-CN"/>
        </w:rPr>
      </w:pPr>
      <w:r>
        <w:rPr>
          <w:rFonts w:hint="eastAsia" w:ascii="黑体" w:hAnsi="黑体" w:eastAsia="黑体" w:cs="黑体"/>
          <w:color w:val="auto"/>
          <w:sz w:val="32"/>
          <w:lang w:val="en-US" w:eastAsia="zh-CN"/>
        </w:rPr>
        <w:t>附件3</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108"/>
        <w:jc w:val="center"/>
        <w:textAlignment w:val="auto"/>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市商务局2021年度部门联合“双随机、一公开”抽查计划</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108"/>
        <w:jc w:val="left"/>
        <w:textAlignment w:val="auto"/>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32"/>
          <w:szCs w:val="32"/>
          <w:u w:val="none"/>
          <w:lang w:val="en-US" w:eastAsia="zh-CN" w:bidi="ar"/>
        </w:rPr>
        <w:t>单位（盖章）：</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108"/>
        <w:jc w:val="left"/>
        <w:textAlignment w:val="auto"/>
        <w:rPr>
          <w:rFonts w:hint="eastAsia" w:ascii="方正小标宋简体" w:hAnsi="方正小标宋简体" w:eastAsia="方正小标宋简体" w:cs="方正小标宋简体"/>
          <w:i w:val="0"/>
          <w:color w:val="000000"/>
          <w:kern w:val="0"/>
          <w:sz w:val="32"/>
          <w:szCs w:val="32"/>
          <w:u w:val="none"/>
          <w:lang w:val="en-US" w:eastAsia="zh-CN" w:bidi="ar"/>
        </w:rPr>
      </w:pPr>
    </w:p>
    <w:p>
      <w:pPr>
        <w:pStyle w:val="2"/>
        <w:keepNext w:val="0"/>
        <w:keepLines w:val="0"/>
        <w:pageBreakBefore w:val="0"/>
        <w:widowControl w:val="0"/>
        <w:kinsoku w:val="0"/>
        <w:wordWrap/>
        <w:overflowPunct w:val="0"/>
        <w:topLinePunct w:val="0"/>
        <w:autoSpaceDE/>
        <w:autoSpaceDN/>
        <w:bidi w:val="0"/>
        <w:adjustRightInd/>
        <w:snapToGrid/>
        <w:spacing w:beforeLines="0" w:afterLines="0" w:line="580" w:lineRule="exact"/>
        <w:ind w:left="108"/>
        <w:jc w:val="left"/>
        <w:textAlignment w:val="auto"/>
        <w:rPr>
          <w:rFonts w:hint="default" w:ascii="方正小标宋简体" w:hAnsi="方正小标宋简体" w:eastAsia="方正小标宋简体" w:cs="方正小标宋简体"/>
          <w:i w:val="0"/>
          <w:color w:val="000000"/>
          <w:kern w:val="0"/>
          <w:sz w:val="32"/>
          <w:szCs w:val="32"/>
          <w:u w:val="none"/>
          <w:lang w:val="en-US" w:eastAsia="zh-CN" w:bidi="ar"/>
        </w:rPr>
      </w:pPr>
    </w:p>
    <w:tbl>
      <w:tblPr>
        <w:tblStyle w:val="4"/>
        <w:tblW w:w="14569" w:type="dxa"/>
        <w:jc w:val="center"/>
        <w:tblLayout w:type="fixed"/>
        <w:tblCellMar>
          <w:top w:w="0" w:type="dxa"/>
          <w:left w:w="0" w:type="dxa"/>
          <w:bottom w:w="0" w:type="dxa"/>
          <w:right w:w="0" w:type="dxa"/>
        </w:tblCellMar>
      </w:tblPr>
      <w:tblGrid>
        <w:gridCol w:w="389"/>
        <w:gridCol w:w="631"/>
        <w:gridCol w:w="1504"/>
        <w:gridCol w:w="1290"/>
        <w:gridCol w:w="5101"/>
        <w:gridCol w:w="627"/>
        <w:gridCol w:w="1391"/>
        <w:gridCol w:w="764"/>
        <w:gridCol w:w="764"/>
        <w:gridCol w:w="1459"/>
        <w:gridCol w:w="649"/>
      </w:tblGrid>
      <w:tr>
        <w:tblPrEx>
          <w:tblCellMar>
            <w:top w:w="0" w:type="dxa"/>
            <w:left w:w="0" w:type="dxa"/>
            <w:bottom w:w="0" w:type="dxa"/>
            <w:right w:w="0" w:type="dxa"/>
          </w:tblCellMar>
        </w:tblPrEx>
        <w:trPr>
          <w:trHeight w:val="960"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bookmarkStart w:id="0" w:name="_GoBack"/>
            <w:r>
              <w:rPr>
                <w:rFonts w:hint="eastAsia" w:ascii="仿宋_GB2312" w:hAnsi="仿宋_GB2312" w:eastAsia="仿宋_GB2312" w:cs="仿宋_GB2312"/>
                <w:b/>
                <w:bCs/>
                <w:i w:val="0"/>
                <w:color w:val="000000"/>
                <w:kern w:val="0"/>
                <w:sz w:val="24"/>
                <w:szCs w:val="24"/>
                <w:u w:val="none"/>
                <w:lang w:val="en-US" w:eastAsia="zh-CN" w:bidi="ar"/>
              </w:rPr>
              <w:t>序</w:t>
            </w:r>
            <w:r>
              <w:rPr>
                <w:rFonts w:hint="eastAsia" w:ascii="仿宋_GB2312" w:hAnsi="仿宋_GB2312" w:eastAsia="仿宋_GB2312" w:cs="仿宋_GB2312"/>
                <w:b/>
                <w:bCs/>
                <w:i w:val="0"/>
                <w:color w:val="000000"/>
                <w:kern w:val="0"/>
                <w:sz w:val="24"/>
                <w:szCs w:val="24"/>
                <w:u w:val="none"/>
                <w:lang w:val="en-US" w:eastAsia="zh-CN" w:bidi="ar"/>
              </w:rPr>
              <w:br w:type="textWrapping"/>
            </w:r>
            <w:r>
              <w:rPr>
                <w:rFonts w:hint="eastAsia" w:ascii="仿宋_GB2312" w:hAnsi="仿宋_GB2312" w:eastAsia="仿宋_GB2312" w:cs="仿宋_GB2312"/>
                <w:b/>
                <w:bCs/>
                <w:i w:val="0"/>
                <w:color w:val="000000"/>
                <w:kern w:val="0"/>
                <w:sz w:val="24"/>
                <w:szCs w:val="24"/>
                <w:u w:val="none"/>
                <w:lang w:val="en-US" w:eastAsia="zh-CN" w:bidi="ar"/>
              </w:rPr>
              <w:t>号</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部 门</w:t>
            </w:r>
          </w:p>
        </w:tc>
        <w:tc>
          <w:tcPr>
            <w:tcW w:w="15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抽查领域</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抽查类别</w:t>
            </w:r>
          </w:p>
        </w:tc>
        <w:tc>
          <w:tcPr>
            <w:tcW w:w="5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抽查事项</w:t>
            </w:r>
          </w:p>
        </w:tc>
        <w:tc>
          <w:tcPr>
            <w:tcW w:w="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检查对象</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事项</w:t>
            </w:r>
            <w:r>
              <w:rPr>
                <w:rFonts w:hint="eastAsia" w:ascii="仿宋_GB2312" w:hAnsi="仿宋_GB2312" w:eastAsia="仿宋_GB2312" w:cs="仿宋_GB2312"/>
                <w:b/>
                <w:bCs/>
                <w:i w:val="0"/>
                <w:color w:val="000000"/>
                <w:kern w:val="0"/>
                <w:sz w:val="24"/>
                <w:szCs w:val="24"/>
                <w:u w:val="none"/>
                <w:lang w:val="en-US" w:eastAsia="zh-CN" w:bidi="ar"/>
              </w:rPr>
              <w:br w:type="textWrapping"/>
            </w:r>
            <w:r>
              <w:rPr>
                <w:rFonts w:hint="eastAsia" w:ascii="仿宋_GB2312" w:hAnsi="仿宋_GB2312" w:eastAsia="仿宋_GB2312" w:cs="仿宋_GB2312"/>
                <w:b/>
                <w:bCs/>
                <w:i w:val="0"/>
                <w:color w:val="000000"/>
                <w:kern w:val="0"/>
                <w:sz w:val="24"/>
                <w:szCs w:val="24"/>
                <w:u w:val="none"/>
                <w:lang w:val="en-US" w:eastAsia="zh-CN" w:bidi="ar"/>
              </w:rPr>
              <w:t>类别</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抽查比例</w:t>
            </w:r>
            <w:r>
              <w:rPr>
                <w:rFonts w:hint="eastAsia" w:ascii="仿宋_GB2312" w:hAnsi="仿宋_GB2312" w:eastAsia="仿宋_GB2312" w:cs="仿宋_GB2312"/>
                <w:b/>
                <w:bCs/>
                <w:i w:val="0"/>
                <w:color w:val="000000"/>
                <w:kern w:val="0"/>
                <w:sz w:val="24"/>
                <w:szCs w:val="24"/>
                <w:u w:val="none"/>
                <w:lang w:val="en-US" w:eastAsia="zh-CN" w:bidi="ar"/>
              </w:rPr>
              <w:br w:type="textWrapping"/>
            </w:r>
            <w:r>
              <w:rPr>
                <w:rFonts w:hint="eastAsia" w:ascii="仿宋_GB2312" w:hAnsi="仿宋_GB2312" w:eastAsia="仿宋_GB2312" w:cs="仿宋_GB2312"/>
                <w:b/>
                <w:bCs/>
                <w:i w:val="0"/>
                <w:color w:val="000000"/>
                <w:kern w:val="0"/>
                <w:sz w:val="24"/>
                <w:szCs w:val="24"/>
                <w:u w:val="none"/>
                <w:lang w:val="en-US" w:eastAsia="zh-CN" w:bidi="ar"/>
              </w:rPr>
              <w:t>及频次</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检查</w:t>
            </w:r>
            <w:r>
              <w:rPr>
                <w:rFonts w:hint="eastAsia" w:ascii="仿宋_GB2312" w:hAnsi="仿宋_GB2312" w:eastAsia="仿宋_GB2312" w:cs="仿宋_GB2312"/>
                <w:b/>
                <w:bCs/>
                <w:i w:val="0"/>
                <w:color w:val="000000"/>
                <w:kern w:val="0"/>
                <w:sz w:val="24"/>
                <w:szCs w:val="24"/>
                <w:u w:val="none"/>
                <w:lang w:val="en-US" w:eastAsia="zh-CN" w:bidi="ar"/>
              </w:rPr>
              <w:br w:type="textWrapping"/>
            </w:r>
            <w:r>
              <w:rPr>
                <w:rFonts w:hint="eastAsia" w:ascii="仿宋_GB2312" w:hAnsi="仿宋_GB2312" w:eastAsia="仿宋_GB2312" w:cs="仿宋_GB2312"/>
                <w:b/>
                <w:bCs/>
                <w:i w:val="0"/>
                <w:color w:val="000000"/>
                <w:kern w:val="0"/>
                <w:sz w:val="24"/>
                <w:szCs w:val="24"/>
                <w:u w:val="none"/>
                <w:lang w:val="en-US" w:eastAsia="zh-CN" w:bidi="ar"/>
              </w:rPr>
              <w:t>时间</w:t>
            </w:r>
          </w:p>
        </w:tc>
        <w:tc>
          <w:tcPr>
            <w:tcW w:w="14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配合部门</w:t>
            </w:r>
          </w:p>
        </w:tc>
        <w:tc>
          <w:tcPr>
            <w:tcW w:w="6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检查主体</w:t>
            </w:r>
          </w:p>
        </w:tc>
      </w:tr>
      <w:tr>
        <w:tblPrEx>
          <w:tblCellMar>
            <w:top w:w="0" w:type="dxa"/>
            <w:left w:w="0" w:type="dxa"/>
            <w:bottom w:w="0" w:type="dxa"/>
            <w:right w:w="0" w:type="dxa"/>
          </w:tblCellMar>
        </w:tblPrEx>
        <w:trPr>
          <w:trHeight w:val="2430"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1</w:t>
            </w: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市商务局</w:t>
            </w:r>
          </w:p>
        </w:tc>
        <w:tc>
          <w:tcPr>
            <w:tcW w:w="15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二手车交易市场经营者经营行为的检查</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二手车交易市场经营者经营行为的检查</w:t>
            </w:r>
          </w:p>
        </w:tc>
        <w:tc>
          <w:tcPr>
            <w:tcW w:w="5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二手车经销企业销售二手车时是否向买方提供质量保证及售后服务承诺并在经营场所予以明示；二手车交易市场经营者和二手车经营主体是否建立完整的二手车交易购销、买卖、拍卖、经纪档案等；二手车交易市场经营者和二手车经营主体是否自取得营业执照之日起2个月内向省级商务主管部门备案；二手车交易市场经营者和二手车经营主体是否定期将二手车交易量、交易额等信息通过所在地商务主管部门报送省级商务主管部门等</w:t>
            </w:r>
          </w:p>
        </w:tc>
        <w:tc>
          <w:tcPr>
            <w:tcW w:w="6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二手车市场</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一般检查事项</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5%；一年一次</w:t>
            </w: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4月-12月</w:t>
            </w:r>
          </w:p>
        </w:tc>
        <w:tc>
          <w:tcPr>
            <w:tcW w:w="14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市场监管局</w:t>
            </w:r>
          </w:p>
        </w:tc>
        <w:tc>
          <w:tcPr>
            <w:tcW w:w="6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微软雅黑" w:hAnsi="微软雅黑" w:eastAsia="微软雅黑" w:cs="微软雅黑"/>
                <w:i w:val="0"/>
                <w:caps w:val="0"/>
                <w:color w:val="000000"/>
                <w:spacing w:val="0"/>
                <w:kern w:val="0"/>
                <w:sz w:val="18"/>
                <w:szCs w:val="18"/>
                <w:lang w:val="en-US" w:eastAsia="zh-CN" w:bidi="ar"/>
              </w:rPr>
            </w:pPr>
            <w:r>
              <w:rPr>
                <w:rFonts w:hint="eastAsia" w:ascii="微软雅黑" w:hAnsi="微软雅黑" w:eastAsia="微软雅黑" w:cs="微软雅黑"/>
                <w:i w:val="0"/>
                <w:caps w:val="0"/>
                <w:color w:val="000000"/>
                <w:spacing w:val="0"/>
                <w:kern w:val="0"/>
                <w:sz w:val="18"/>
                <w:szCs w:val="18"/>
                <w:lang w:val="en-US" w:eastAsia="zh-CN" w:bidi="ar"/>
              </w:rPr>
              <w:t>市级、县级相关部门</w:t>
            </w:r>
          </w:p>
        </w:tc>
      </w:tr>
      <w:bookmarkEnd w:id="0"/>
    </w:tbl>
    <w:p>
      <w:r>
        <w:rPr>
          <w:rFonts w:hint="eastAsia" w:ascii="黑体" w:hAnsi="黑体" w:eastAsia="黑体" w:cs="黑体"/>
          <w:color w:val="auto"/>
          <w:sz w:val="32"/>
          <w:lang w:val="en-US" w:eastAsia="zh-CN"/>
        </w:rPr>
        <w:t>备注：所有信息均需要填写齐全，确保真实合法、科学有效。配合部门确定后，不做修改。</w:t>
      </w:r>
    </w:p>
    <w:sectPr>
      <w:pgSz w:w="16838" w:h="11906" w:orient="landscape"/>
      <w:pgMar w:top="1587" w:right="1417" w:bottom="1474"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C3356"/>
    <w:rsid w:val="00144CA3"/>
    <w:rsid w:val="00194299"/>
    <w:rsid w:val="00A15F81"/>
    <w:rsid w:val="0100761F"/>
    <w:rsid w:val="0151655A"/>
    <w:rsid w:val="0183620A"/>
    <w:rsid w:val="019A1E03"/>
    <w:rsid w:val="01B1610B"/>
    <w:rsid w:val="01CD53E6"/>
    <w:rsid w:val="02021021"/>
    <w:rsid w:val="02850D6A"/>
    <w:rsid w:val="029E0229"/>
    <w:rsid w:val="031D4AF8"/>
    <w:rsid w:val="03521A8B"/>
    <w:rsid w:val="038361E3"/>
    <w:rsid w:val="03F236C8"/>
    <w:rsid w:val="044F5BCB"/>
    <w:rsid w:val="046A4C23"/>
    <w:rsid w:val="050C3356"/>
    <w:rsid w:val="051D6B55"/>
    <w:rsid w:val="05341432"/>
    <w:rsid w:val="056100FE"/>
    <w:rsid w:val="05916910"/>
    <w:rsid w:val="06027136"/>
    <w:rsid w:val="06791D3A"/>
    <w:rsid w:val="06AE3714"/>
    <w:rsid w:val="06E26AEE"/>
    <w:rsid w:val="0701083C"/>
    <w:rsid w:val="079B4A70"/>
    <w:rsid w:val="079E6B87"/>
    <w:rsid w:val="07D92D67"/>
    <w:rsid w:val="0829075B"/>
    <w:rsid w:val="0853361D"/>
    <w:rsid w:val="08A966A3"/>
    <w:rsid w:val="08D45CD6"/>
    <w:rsid w:val="08E34DBE"/>
    <w:rsid w:val="09A474D8"/>
    <w:rsid w:val="09BF6B3B"/>
    <w:rsid w:val="0A5E10AF"/>
    <w:rsid w:val="0A61185B"/>
    <w:rsid w:val="0AC823F5"/>
    <w:rsid w:val="0AFA2C9C"/>
    <w:rsid w:val="0BA62C73"/>
    <w:rsid w:val="0BD9091A"/>
    <w:rsid w:val="0C02417E"/>
    <w:rsid w:val="0C0C3824"/>
    <w:rsid w:val="0C430D9F"/>
    <w:rsid w:val="0C974733"/>
    <w:rsid w:val="0CB97047"/>
    <w:rsid w:val="0CEE5209"/>
    <w:rsid w:val="0D3F5D81"/>
    <w:rsid w:val="0D597F54"/>
    <w:rsid w:val="0D87748C"/>
    <w:rsid w:val="0E062BCE"/>
    <w:rsid w:val="0E38668B"/>
    <w:rsid w:val="0EFC201F"/>
    <w:rsid w:val="0F294F73"/>
    <w:rsid w:val="0F487E36"/>
    <w:rsid w:val="0F9E4737"/>
    <w:rsid w:val="102848C6"/>
    <w:rsid w:val="10385536"/>
    <w:rsid w:val="105B2EA1"/>
    <w:rsid w:val="106742B4"/>
    <w:rsid w:val="10A40E44"/>
    <w:rsid w:val="10D50DAC"/>
    <w:rsid w:val="111773D0"/>
    <w:rsid w:val="1123489A"/>
    <w:rsid w:val="11CE4943"/>
    <w:rsid w:val="11D3674C"/>
    <w:rsid w:val="11E63A88"/>
    <w:rsid w:val="12BD42CB"/>
    <w:rsid w:val="133639D8"/>
    <w:rsid w:val="133C740C"/>
    <w:rsid w:val="136E3B9F"/>
    <w:rsid w:val="13B979A6"/>
    <w:rsid w:val="13BE17A2"/>
    <w:rsid w:val="13F239AD"/>
    <w:rsid w:val="142A6E87"/>
    <w:rsid w:val="143079DC"/>
    <w:rsid w:val="146047A7"/>
    <w:rsid w:val="14A85D6C"/>
    <w:rsid w:val="14AC36E0"/>
    <w:rsid w:val="152D4957"/>
    <w:rsid w:val="160E687C"/>
    <w:rsid w:val="163A7B0A"/>
    <w:rsid w:val="16464F5B"/>
    <w:rsid w:val="16F828A5"/>
    <w:rsid w:val="17114D0C"/>
    <w:rsid w:val="17134C98"/>
    <w:rsid w:val="176366A4"/>
    <w:rsid w:val="17A705BF"/>
    <w:rsid w:val="18177536"/>
    <w:rsid w:val="187B5736"/>
    <w:rsid w:val="18810AB3"/>
    <w:rsid w:val="18814A2C"/>
    <w:rsid w:val="18880B5E"/>
    <w:rsid w:val="19705FAB"/>
    <w:rsid w:val="19D923F9"/>
    <w:rsid w:val="19F226A4"/>
    <w:rsid w:val="1A1C463D"/>
    <w:rsid w:val="1ADD05CA"/>
    <w:rsid w:val="1AE27B4B"/>
    <w:rsid w:val="1B611A49"/>
    <w:rsid w:val="1B6F37F6"/>
    <w:rsid w:val="1BDE3A28"/>
    <w:rsid w:val="1C465A63"/>
    <w:rsid w:val="1CC56606"/>
    <w:rsid w:val="1CE50264"/>
    <w:rsid w:val="1D552627"/>
    <w:rsid w:val="1D5E4A6B"/>
    <w:rsid w:val="1D6E2A16"/>
    <w:rsid w:val="1DD0174C"/>
    <w:rsid w:val="1E3272B8"/>
    <w:rsid w:val="1EF8313B"/>
    <w:rsid w:val="1EF93A32"/>
    <w:rsid w:val="1EFE4BB7"/>
    <w:rsid w:val="1F3744B7"/>
    <w:rsid w:val="1F6B0C41"/>
    <w:rsid w:val="1FAB1FB0"/>
    <w:rsid w:val="1FC97E3C"/>
    <w:rsid w:val="1FDE099A"/>
    <w:rsid w:val="20AF3DB4"/>
    <w:rsid w:val="20B77285"/>
    <w:rsid w:val="210F6209"/>
    <w:rsid w:val="212E0578"/>
    <w:rsid w:val="21814321"/>
    <w:rsid w:val="21CB2C0A"/>
    <w:rsid w:val="21DC14E7"/>
    <w:rsid w:val="2282188A"/>
    <w:rsid w:val="22AD38A8"/>
    <w:rsid w:val="23693420"/>
    <w:rsid w:val="23761729"/>
    <w:rsid w:val="23B40E35"/>
    <w:rsid w:val="23CA6927"/>
    <w:rsid w:val="23EB253E"/>
    <w:rsid w:val="24832424"/>
    <w:rsid w:val="249E10A6"/>
    <w:rsid w:val="256830A8"/>
    <w:rsid w:val="25CA74DF"/>
    <w:rsid w:val="26AF653B"/>
    <w:rsid w:val="26DA5E86"/>
    <w:rsid w:val="27D431C4"/>
    <w:rsid w:val="28483002"/>
    <w:rsid w:val="285117D4"/>
    <w:rsid w:val="289A692A"/>
    <w:rsid w:val="28ED0762"/>
    <w:rsid w:val="293452C4"/>
    <w:rsid w:val="293C20DE"/>
    <w:rsid w:val="29822832"/>
    <w:rsid w:val="299F355C"/>
    <w:rsid w:val="29D4723A"/>
    <w:rsid w:val="2A351AE4"/>
    <w:rsid w:val="2A8C709F"/>
    <w:rsid w:val="2AE67B87"/>
    <w:rsid w:val="2C5554D8"/>
    <w:rsid w:val="2C992469"/>
    <w:rsid w:val="2D0272C3"/>
    <w:rsid w:val="2D152964"/>
    <w:rsid w:val="2D502B25"/>
    <w:rsid w:val="2D695A1F"/>
    <w:rsid w:val="2DFE330E"/>
    <w:rsid w:val="2E021154"/>
    <w:rsid w:val="2E022A23"/>
    <w:rsid w:val="2E0D2EC8"/>
    <w:rsid w:val="2E1A5A58"/>
    <w:rsid w:val="2E361B52"/>
    <w:rsid w:val="2E5B7CE8"/>
    <w:rsid w:val="2E781DB4"/>
    <w:rsid w:val="2E78468A"/>
    <w:rsid w:val="2E8B6836"/>
    <w:rsid w:val="2ED42B0F"/>
    <w:rsid w:val="2F0F43C4"/>
    <w:rsid w:val="2F194518"/>
    <w:rsid w:val="2F6472BC"/>
    <w:rsid w:val="2F6C0D73"/>
    <w:rsid w:val="30356BA7"/>
    <w:rsid w:val="307A1D62"/>
    <w:rsid w:val="30EF595E"/>
    <w:rsid w:val="31886563"/>
    <w:rsid w:val="31A868E5"/>
    <w:rsid w:val="32302118"/>
    <w:rsid w:val="331A08B9"/>
    <w:rsid w:val="337B53E8"/>
    <w:rsid w:val="33DC06DD"/>
    <w:rsid w:val="33F93B9D"/>
    <w:rsid w:val="34667871"/>
    <w:rsid w:val="34C01C5B"/>
    <w:rsid w:val="34E049DB"/>
    <w:rsid w:val="35275B3E"/>
    <w:rsid w:val="356A40A1"/>
    <w:rsid w:val="356A56C2"/>
    <w:rsid w:val="35F31245"/>
    <w:rsid w:val="3617050C"/>
    <w:rsid w:val="364A351F"/>
    <w:rsid w:val="36526CA6"/>
    <w:rsid w:val="36C01F3D"/>
    <w:rsid w:val="36C20428"/>
    <w:rsid w:val="37000C5D"/>
    <w:rsid w:val="374760E9"/>
    <w:rsid w:val="37E074F3"/>
    <w:rsid w:val="37EA73EB"/>
    <w:rsid w:val="38BD299B"/>
    <w:rsid w:val="38F96CC7"/>
    <w:rsid w:val="39375F93"/>
    <w:rsid w:val="39B84DEC"/>
    <w:rsid w:val="39C72415"/>
    <w:rsid w:val="3A0029E1"/>
    <w:rsid w:val="3A3C72B9"/>
    <w:rsid w:val="3A5E14A6"/>
    <w:rsid w:val="3AB17778"/>
    <w:rsid w:val="3AC57F7B"/>
    <w:rsid w:val="3B1C75B9"/>
    <w:rsid w:val="3B371466"/>
    <w:rsid w:val="3B6B3656"/>
    <w:rsid w:val="3BBC04B9"/>
    <w:rsid w:val="3BD13935"/>
    <w:rsid w:val="3C826C01"/>
    <w:rsid w:val="3CAD16E4"/>
    <w:rsid w:val="3CBF199F"/>
    <w:rsid w:val="3CFB01EC"/>
    <w:rsid w:val="3D1055B6"/>
    <w:rsid w:val="3D18179E"/>
    <w:rsid w:val="3D1C0727"/>
    <w:rsid w:val="3D293F1D"/>
    <w:rsid w:val="3D481D1C"/>
    <w:rsid w:val="3D6815B8"/>
    <w:rsid w:val="3D850E26"/>
    <w:rsid w:val="3DD1348E"/>
    <w:rsid w:val="3DE050C3"/>
    <w:rsid w:val="3E9B4E80"/>
    <w:rsid w:val="3EB70775"/>
    <w:rsid w:val="3EF6015A"/>
    <w:rsid w:val="3FD41882"/>
    <w:rsid w:val="400B6BCF"/>
    <w:rsid w:val="403948B6"/>
    <w:rsid w:val="40C81470"/>
    <w:rsid w:val="40DB4F63"/>
    <w:rsid w:val="40E244E4"/>
    <w:rsid w:val="40FC55A6"/>
    <w:rsid w:val="4111571E"/>
    <w:rsid w:val="416554E4"/>
    <w:rsid w:val="41697C98"/>
    <w:rsid w:val="41F27040"/>
    <w:rsid w:val="42345B39"/>
    <w:rsid w:val="42414F5E"/>
    <w:rsid w:val="42897266"/>
    <w:rsid w:val="42C32BFA"/>
    <w:rsid w:val="43142DE8"/>
    <w:rsid w:val="436961DA"/>
    <w:rsid w:val="439011B8"/>
    <w:rsid w:val="43EB2315"/>
    <w:rsid w:val="446C09DA"/>
    <w:rsid w:val="44790EFF"/>
    <w:rsid w:val="450A4941"/>
    <w:rsid w:val="454A1B58"/>
    <w:rsid w:val="46D133A7"/>
    <w:rsid w:val="4722415B"/>
    <w:rsid w:val="47333A0E"/>
    <w:rsid w:val="47565C67"/>
    <w:rsid w:val="477A29A3"/>
    <w:rsid w:val="48567F92"/>
    <w:rsid w:val="488D0A93"/>
    <w:rsid w:val="48F03FAF"/>
    <w:rsid w:val="495E33CF"/>
    <w:rsid w:val="496359CC"/>
    <w:rsid w:val="49D01D44"/>
    <w:rsid w:val="4A207C47"/>
    <w:rsid w:val="4AAE6E96"/>
    <w:rsid w:val="4AE219E8"/>
    <w:rsid w:val="4AEC1258"/>
    <w:rsid w:val="4B111F86"/>
    <w:rsid w:val="4B1756D9"/>
    <w:rsid w:val="4B644F2E"/>
    <w:rsid w:val="4B6468CB"/>
    <w:rsid w:val="4BA57EE6"/>
    <w:rsid w:val="4BDF1AB2"/>
    <w:rsid w:val="4CA07AB5"/>
    <w:rsid w:val="4CF57F0A"/>
    <w:rsid w:val="4D034448"/>
    <w:rsid w:val="4D2C0A7F"/>
    <w:rsid w:val="4DA75898"/>
    <w:rsid w:val="4E2A0FE8"/>
    <w:rsid w:val="4E974053"/>
    <w:rsid w:val="4E9749CB"/>
    <w:rsid w:val="4E9E107C"/>
    <w:rsid w:val="4EB00BA2"/>
    <w:rsid w:val="4EBB28FE"/>
    <w:rsid w:val="4ECC1A4F"/>
    <w:rsid w:val="4F090C1A"/>
    <w:rsid w:val="4FCB72B1"/>
    <w:rsid w:val="4FF449AA"/>
    <w:rsid w:val="4FF75224"/>
    <w:rsid w:val="502A4ACE"/>
    <w:rsid w:val="50B046D2"/>
    <w:rsid w:val="50C96873"/>
    <w:rsid w:val="50D749B7"/>
    <w:rsid w:val="50DA737D"/>
    <w:rsid w:val="50E511E7"/>
    <w:rsid w:val="5116445B"/>
    <w:rsid w:val="51272CD1"/>
    <w:rsid w:val="51560C1B"/>
    <w:rsid w:val="52130381"/>
    <w:rsid w:val="526D7FEA"/>
    <w:rsid w:val="52FA1C57"/>
    <w:rsid w:val="53357A8F"/>
    <w:rsid w:val="534C5B9A"/>
    <w:rsid w:val="53614A09"/>
    <w:rsid w:val="53622CFF"/>
    <w:rsid w:val="53931488"/>
    <w:rsid w:val="53F20DEB"/>
    <w:rsid w:val="54064C2D"/>
    <w:rsid w:val="542B17B8"/>
    <w:rsid w:val="54765411"/>
    <w:rsid w:val="549011E9"/>
    <w:rsid w:val="549366C8"/>
    <w:rsid w:val="551C692B"/>
    <w:rsid w:val="5562247B"/>
    <w:rsid w:val="55E7651C"/>
    <w:rsid w:val="562A66F6"/>
    <w:rsid w:val="5690099B"/>
    <w:rsid w:val="575A3DF0"/>
    <w:rsid w:val="575B281A"/>
    <w:rsid w:val="575C2040"/>
    <w:rsid w:val="57A73338"/>
    <w:rsid w:val="57AC0350"/>
    <w:rsid w:val="582C0BA9"/>
    <w:rsid w:val="58825DCC"/>
    <w:rsid w:val="58A55B7A"/>
    <w:rsid w:val="58EF7B53"/>
    <w:rsid w:val="58FF7238"/>
    <w:rsid w:val="59256F7B"/>
    <w:rsid w:val="59320587"/>
    <w:rsid w:val="599C7995"/>
    <w:rsid w:val="59F1587B"/>
    <w:rsid w:val="5A042366"/>
    <w:rsid w:val="5A065171"/>
    <w:rsid w:val="5A1A498F"/>
    <w:rsid w:val="5A267AEE"/>
    <w:rsid w:val="5A396786"/>
    <w:rsid w:val="5AB04DD3"/>
    <w:rsid w:val="5AD158E2"/>
    <w:rsid w:val="5ADF26A5"/>
    <w:rsid w:val="5B3217B8"/>
    <w:rsid w:val="5B6B4DE3"/>
    <w:rsid w:val="5BA759EA"/>
    <w:rsid w:val="5C0868FB"/>
    <w:rsid w:val="5C2A7AB8"/>
    <w:rsid w:val="5C425DC4"/>
    <w:rsid w:val="5C4468F7"/>
    <w:rsid w:val="5C52289F"/>
    <w:rsid w:val="5D1F6EBF"/>
    <w:rsid w:val="5DDA0218"/>
    <w:rsid w:val="5DE95C8F"/>
    <w:rsid w:val="5E0E4D6B"/>
    <w:rsid w:val="5E2F3A8B"/>
    <w:rsid w:val="5EC7625B"/>
    <w:rsid w:val="5EE34CB1"/>
    <w:rsid w:val="5EE5172A"/>
    <w:rsid w:val="5EE55EC1"/>
    <w:rsid w:val="5EFA0229"/>
    <w:rsid w:val="5F204787"/>
    <w:rsid w:val="5F255E8E"/>
    <w:rsid w:val="5F4C52B9"/>
    <w:rsid w:val="5FB003F9"/>
    <w:rsid w:val="5FC11769"/>
    <w:rsid w:val="607741EE"/>
    <w:rsid w:val="60B93CAA"/>
    <w:rsid w:val="60C323B9"/>
    <w:rsid w:val="615E5664"/>
    <w:rsid w:val="61784FD4"/>
    <w:rsid w:val="61952637"/>
    <w:rsid w:val="6198184F"/>
    <w:rsid w:val="61B806E5"/>
    <w:rsid w:val="61ED3546"/>
    <w:rsid w:val="62064530"/>
    <w:rsid w:val="62576E8A"/>
    <w:rsid w:val="626E0333"/>
    <w:rsid w:val="6272330B"/>
    <w:rsid w:val="628B2C15"/>
    <w:rsid w:val="62C201CC"/>
    <w:rsid w:val="63265372"/>
    <w:rsid w:val="633E1FC1"/>
    <w:rsid w:val="63602813"/>
    <w:rsid w:val="639C72D3"/>
    <w:rsid w:val="63AA5BFE"/>
    <w:rsid w:val="63E24678"/>
    <w:rsid w:val="642D4EAC"/>
    <w:rsid w:val="645D0B53"/>
    <w:rsid w:val="65567A96"/>
    <w:rsid w:val="6572541B"/>
    <w:rsid w:val="65BC7EA4"/>
    <w:rsid w:val="66047FD9"/>
    <w:rsid w:val="662C5ED8"/>
    <w:rsid w:val="66A30E28"/>
    <w:rsid w:val="66C010F0"/>
    <w:rsid w:val="671001C0"/>
    <w:rsid w:val="67683182"/>
    <w:rsid w:val="679B1D7B"/>
    <w:rsid w:val="67D11E47"/>
    <w:rsid w:val="6808224A"/>
    <w:rsid w:val="68410167"/>
    <w:rsid w:val="68DF60E1"/>
    <w:rsid w:val="690A01FB"/>
    <w:rsid w:val="694F7AF2"/>
    <w:rsid w:val="69931533"/>
    <w:rsid w:val="69B02D5B"/>
    <w:rsid w:val="69D33DC8"/>
    <w:rsid w:val="6A153AF0"/>
    <w:rsid w:val="6A682856"/>
    <w:rsid w:val="6AA51703"/>
    <w:rsid w:val="6B413D36"/>
    <w:rsid w:val="6B7B12E4"/>
    <w:rsid w:val="6B7D24C9"/>
    <w:rsid w:val="6B982349"/>
    <w:rsid w:val="6BB85B67"/>
    <w:rsid w:val="6C011BD0"/>
    <w:rsid w:val="6C5E6BE2"/>
    <w:rsid w:val="6C6550C6"/>
    <w:rsid w:val="6C73627B"/>
    <w:rsid w:val="6C8E50B6"/>
    <w:rsid w:val="6CCD0424"/>
    <w:rsid w:val="6D06570C"/>
    <w:rsid w:val="6D7D7D40"/>
    <w:rsid w:val="6DE04161"/>
    <w:rsid w:val="6E595695"/>
    <w:rsid w:val="6E79398A"/>
    <w:rsid w:val="6E7E58C9"/>
    <w:rsid w:val="6EA432F5"/>
    <w:rsid w:val="6ED77FC4"/>
    <w:rsid w:val="6F072197"/>
    <w:rsid w:val="6FAA71EB"/>
    <w:rsid w:val="6FB773B6"/>
    <w:rsid w:val="6FE75F3B"/>
    <w:rsid w:val="701D4C56"/>
    <w:rsid w:val="705009BE"/>
    <w:rsid w:val="7054449A"/>
    <w:rsid w:val="70734A7A"/>
    <w:rsid w:val="70847D99"/>
    <w:rsid w:val="7088148B"/>
    <w:rsid w:val="713819B7"/>
    <w:rsid w:val="71486931"/>
    <w:rsid w:val="714C0D22"/>
    <w:rsid w:val="715A5906"/>
    <w:rsid w:val="71642D47"/>
    <w:rsid w:val="71900A35"/>
    <w:rsid w:val="71AA335D"/>
    <w:rsid w:val="71C24612"/>
    <w:rsid w:val="71FC177A"/>
    <w:rsid w:val="720608C4"/>
    <w:rsid w:val="721A0B77"/>
    <w:rsid w:val="72412499"/>
    <w:rsid w:val="725046E2"/>
    <w:rsid w:val="72EC1912"/>
    <w:rsid w:val="7318031F"/>
    <w:rsid w:val="732C325E"/>
    <w:rsid w:val="733950C5"/>
    <w:rsid w:val="734A2EE4"/>
    <w:rsid w:val="736318F4"/>
    <w:rsid w:val="736C2F49"/>
    <w:rsid w:val="738947FA"/>
    <w:rsid w:val="73C34911"/>
    <w:rsid w:val="73E55903"/>
    <w:rsid w:val="750B148F"/>
    <w:rsid w:val="759106AE"/>
    <w:rsid w:val="75B0309A"/>
    <w:rsid w:val="75B933AA"/>
    <w:rsid w:val="75BC455E"/>
    <w:rsid w:val="75E536FC"/>
    <w:rsid w:val="763A7D66"/>
    <w:rsid w:val="768D5982"/>
    <w:rsid w:val="768E7AC4"/>
    <w:rsid w:val="77205F99"/>
    <w:rsid w:val="77357E34"/>
    <w:rsid w:val="77566C12"/>
    <w:rsid w:val="77FA7760"/>
    <w:rsid w:val="780F1F51"/>
    <w:rsid w:val="78181A26"/>
    <w:rsid w:val="78B533D3"/>
    <w:rsid w:val="78D53216"/>
    <w:rsid w:val="793A6997"/>
    <w:rsid w:val="7970606B"/>
    <w:rsid w:val="79840432"/>
    <w:rsid w:val="79D86858"/>
    <w:rsid w:val="79EB5572"/>
    <w:rsid w:val="7A0C2E4E"/>
    <w:rsid w:val="7A784EE8"/>
    <w:rsid w:val="7AC102DB"/>
    <w:rsid w:val="7B597CAE"/>
    <w:rsid w:val="7BA95BDC"/>
    <w:rsid w:val="7BCB7717"/>
    <w:rsid w:val="7C1C5B5B"/>
    <w:rsid w:val="7C2A7B8B"/>
    <w:rsid w:val="7C6E1F96"/>
    <w:rsid w:val="7C761092"/>
    <w:rsid w:val="7CE2183B"/>
    <w:rsid w:val="7D155A17"/>
    <w:rsid w:val="7D2C2ACD"/>
    <w:rsid w:val="7D4E7631"/>
    <w:rsid w:val="7D676F09"/>
    <w:rsid w:val="7D6E197C"/>
    <w:rsid w:val="7D9A2A79"/>
    <w:rsid w:val="7DA30CA7"/>
    <w:rsid w:val="7DBC61CE"/>
    <w:rsid w:val="7DE40C84"/>
    <w:rsid w:val="7E0A7A8B"/>
    <w:rsid w:val="7EE9781B"/>
    <w:rsid w:val="7F2656AE"/>
    <w:rsid w:val="7F3749C5"/>
    <w:rsid w:val="7F7A59E3"/>
    <w:rsid w:val="7F97416E"/>
    <w:rsid w:val="7FB37952"/>
    <w:rsid w:val="7FD035A8"/>
    <w:rsid w:val="7FE6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110"/>
    </w:pPr>
    <w:rPr>
      <w:rFonts w:hint="eastAsia" w:ascii="宋体" w:hAnsi="宋体" w:eastAsia="宋体"/>
      <w:sz w:val="33"/>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2021-01-19T02:05:00Z</dcterms:created>
  <dc:creator>晏澜</dc:creator>
  <cp:lastModifiedBy>晏澜</cp:lastModifiedBy>
  <cp:lastPrinted>2021-01-20T03:21:00Z</cp:lastPrinted>
  <dcterms:modified xsi:type="dcterms:W3CDTF">2021-01-21T02:57:52Z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